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76" w:rsidRPr="009F5074" w:rsidRDefault="009F5074" w:rsidP="009F5074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9F5074">
        <w:rPr>
          <w:b/>
          <w:bCs/>
          <w:sz w:val="24"/>
          <w:szCs w:val="24"/>
          <w:u w:val="single"/>
        </w:rPr>
        <w:t>Corrigé type : Techniques physicochimiques d’analyse et de purification</w:t>
      </w:r>
    </w:p>
    <w:p w:rsidR="009F5074" w:rsidRPr="009F5074" w:rsidRDefault="009F5074" w:rsidP="009F5074">
      <w:pPr>
        <w:rPr>
          <w:b/>
          <w:bCs/>
        </w:rPr>
      </w:pPr>
      <w:r w:rsidRPr="009F5074">
        <w:rPr>
          <w:b/>
          <w:bCs/>
        </w:rPr>
        <w:t>EX1/</w:t>
      </w:r>
    </w:p>
    <w:p w:rsidR="002E3175" w:rsidRDefault="002E3175" w:rsidP="002E3175">
      <w:r w:rsidRPr="00F83A5E">
        <w:rPr>
          <w:b/>
          <w:bCs/>
          <w:u w:val="single"/>
        </w:rPr>
        <w:t>Ligne horizontale 1</w:t>
      </w:r>
      <w:r>
        <w:t xml:space="preserve"> : front du solvant                        </w:t>
      </w:r>
      <w:r w:rsidRPr="00F83A5E">
        <w:rPr>
          <w:b/>
          <w:bCs/>
          <w:u w:val="single"/>
        </w:rPr>
        <w:t>Ligne 2 :</w:t>
      </w:r>
      <w:r>
        <w:t xml:space="preserve"> ligne de dépôt</w:t>
      </w:r>
    </w:p>
    <w:p w:rsidR="002E3175" w:rsidRDefault="002E3175" w:rsidP="002E3175">
      <w:r w:rsidRPr="00F83A5E">
        <w:rPr>
          <w:b/>
          <w:bCs/>
          <w:u w:val="single"/>
        </w:rPr>
        <w:t>L’utilisation de la lampe UV</w:t>
      </w:r>
      <w:r>
        <w:t xml:space="preserve"> permet de visualiser ou révéler les espèces chimiques non colorées,  qui par la suite donne des spots faciles à identifier.</w:t>
      </w:r>
    </w:p>
    <w:p w:rsidR="002E3175" w:rsidRDefault="002E3175" w:rsidP="002E3175">
      <w:r w:rsidRPr="00F83A5E">
        <w:rPr>
          <w:b/>
          <w:bCs/>
          <w:u w:val="single"/>
        </w:rPr>
        <w:t>Le mélange  d’éthanoate d’éthyle et d’acide éthanoïque</w:t>
      </w:r>
      <w:r>
        <w:t xml:space="preserve">  sert de phase mobile c’est-à-dire comme éluant.</w:t>
      </w:r>
    </w:p>
    <w:p w:rsidR="002E3175" w:rsidRDefault="002E3175" w:rsidP="002E3175">
      <w:r w:rsidRPr="00F83A5E">
        <w:rPr>
          <w:b/>
          <w:bCs/>
          <w:u w:val="single"/>
        </w:rPr>
        <w:t>Car la migration concerne</w:t>
      </w:r>
      <w:r>
        <w:t xml:space="preserve"> seulement les espèces chimiques solubles dans le dichlorométhane, les autres espèces insolubles restent au point de départ (sur la ligne de dépôt).</w:t>
      </w:r>
    </w:p>
    <w:p w:rsidR="002E3175" w:rsidRDefault="005953F8" w:rsidP="002E3175">
      <w:r w:rsidRPr="00F83A5E">
        <w:rPr>
          <w:b/>
          <w:bCs/>
          <w:u w:val="single"/>
        </w:rPr>
        <w:t>Oui le médicament soupçonné</w:t>
      </w:r>
      <w:r>
        <w:t xml:space="preserve">  contient le principe actif, ceci peut être justifié en comparant les RF du  spot paracétamol pur et celui du médicament </w:t>
      </w:r>
    </w:p>
    <w:p w:rsidR="005953F8" w:rsidRDefault="005953F8" w:rsidP="005953F8">
      <w:pPr>
        <w:rPr>
          <w:b/>
          <w:bCs/>
        </w:rPr>
      </w:pPr>
      <w:r>
        <w:rPr>
          <w:b/>
          <w:bCs/>
        </w:rPr>
        <w:t>EX2</w:t>
      </w:r>
      <w:r w:rsidRPr="009F5074">
        <w:rPr>
          <w:b/>
          <w:bCs/>
        </w:rPr>
        <w:t>/</w:t>
      </w:r>
    </w:p>
    <w:p w:rsidR="005953F8" w:rsidRDefault="005953F8" w:rsidP="005953F8">
      <w:pPr>
        <w:rPr>
          <w:b/>
          <w:bCs/>
        </w:rPr>
      </w:pPr>
      <w:r>
        <w:rPr>
          <w:b/>
          <w:bCs/>
        </w:rPr>
        <w:t xml:space="preserve">La phase mobile </w:t>
      </w:r>
      <w:r w:rsidRPr="005953F8">
        <w:t>(mélange de la solution A et B) est composé de l’acet</w:t>
      </w:r>
      <w:r>
        <w:t>onit</w:t>
      </w:r>
      <w:r w:rsidRPr="005953F8">
        <w:t>rile de nature polaire et d’une solution tampon qui sert à maintenir le ph constant</w:t>
      </w:r>
    </w:p>
    <w:p w:rsidR="005953F8" w:rsidRDefault="005953F8" w:rsidP="005953F8">
      <w:pPr>
        <w:rPr>
          <w:b/>
          <w:bCs/>
        </w:rPr>
      </w:pPr>
      <w:r>
        <w:rPr>
          <w:b/>
          <w:bCs/>
        </w:rPr>
        <w:t xml:space="preserve">La phase stationnaire </w:t>
      </w:r>
      <w:r w:rsidRPr="005953F8">
        <w:t xml:space="preserve">est  </w:t>
      </w:r>
      <w:r>
        <w:rPr>
          <w:b/>
          <w:bCs/>
        </w:rPr>
        <w:t xml:space="preserve"> apolaire (il s’agit d’une silice greffée par des groupements en C18)</w:t>
      </w:r>
    </w:p>
    <w:p w:rsidR="00A45DE8" w:rsidRDefault="00A45DE8" w:rsidP="00A45DE8">
      <w:pPr>
        <w:rPr>
          <w:b/>
          <w:bCs/>
        </w:rPr>
      </w:pPr>
      <w:r>
        <w:rPr>
          <w:b/>
          <w:bCs/>
        </w:rPr>
        <w:t>Ve =tr*d……..ve</w:t>
      </w:r>
      <w:r w:rsidRPr="00A45DE8">
        <w:rPr>
          <w:b/>
          <w:bCs/>
          <w:vertAlign w:val="subscript"/>
        </w:rPr>
        <w:t>6</w:t>
      </w:r>
      <w:r>
        <w:rPr>
          <w:b/>
          <w:bCs/>
        </w:rPr>
        <w:t>=9.8*1=9.8ml………………………………….</w:t>
      </w:r>
      <w:r w:rsidRPr="00A45DE8">
        <w:rPr>
          <w:b/>
          <w:bCs/>
        </w:rPr>
        <w:t xml:space="preserve"> </w:t>
      </w:r>
      <w:r>
        <w:rPr>
          <w:b/>
          <w:bCs/>
        </w:rPr>
        <w:t>ve</w:t>
      </w:r>
      <w:r>
        <w:rPr>
          <w:b/>
          <w:bCs/>
          <w:vertAlign w:val="subscript"/>
        </w:rPr>
        <w:t>7</w:t>
      </w:r>
      <w:r>
        <w:rPr>
          <w:b/>
          <w:bCs/>
        </w:rPr>
        <w:t>=10*1=10ml</w:t>
      </w:r>
    </w:p>
    <w:p w:rsidR="00A45DE8" w:rsidRPr="00F83A5E" w:rsidRDefault="00A45DE8" w:rsidP="00A45DE8">
      <w:r w:rsidRPr="00F83A5E">
        <w:t>µ= L/</w:t>
      </w:r>
      <w:proofErr w:type="spellStart"/>
      <w:r w:rsidRPr="00F83A5E">
        <w:t>tm</w:t>
      </w:r>
      <w:proofErr w:type="spellEnd"/>
      <w:r w:rsidRPr="00F83A5E">
        <w:t>= 15/1.2= 12.5cm/min</w:t>
      </w:r>
    </w:p>
    <w:p w:rsidR="00A45DE8" w:rsidRPr="00A45DE8" w:rsidRDefault="00A45DE8" w:rsidP="00A45DE8">
      <w:r w:rsidRPr="00F83A5E">
        <w:rPr>
          <w:b/>
          <w:bCs/>
          <w:u w:val="single"/>
        </w:rPr>
        <w:t>Travailler en mode gradient</w:t>
      </w:r>
      <w:r w:rsidRPr="00F83A5E">
        <w:t xml:space="preserve"> (</w:t>
      </w:r>
      <w:r w:rsidRPr="00A45DE8">
        <w:t xml:space="preserve">comme indiqué sur le tableau : sujet) permet l’élution de tous les </w:t>
      </w:r>
      <w:proofErr w:type="spellStart"/>
      <w:r w:rsidRPr="00A45DE8">
        <w:t>analytes</w:t>
      </w:r>
      <w:proofErr w:type="spellEnd"/>
      <w:r w:rsidRPr="00A45DE8">
        <w:t xml:space="preserve"> présents dans l’échantillon quel que soit leur nature.</w:t>
      </w:r>
    </w:p>
    <w:p w:rsidR="00A45DE8" w:rsidRPr="00F83A5E" w:rsidRDefault="00A45DE8" w:rsidP="00A45DE8">
      <w:r w:rsidRPr="00F83A5E">
        <w:rPr>
          <w:b/>
          <w:bCs/>
          <w:u w:val="single"/>
        </w:rPr>
        <w:t>Cette fluctuations peut résulter</w:t>
      </w:r>
      <w:r w:rsidRPr="00A45DE8">
        <w:t xml:space="preserve"> des conditions de manipulation et ça peut être  corrigé par une normalisation c’est-à-dire par la réalisation d’un étalonnage interne</w:t>
      </w:r>
      <w:r w:rsidRPr="00F83A5E">
        <w:t>.</w:t>
      </w:r>
    </w:p>
    <w:p w:rsidR="00801F3A" w:rsidRPr="00F83A5E" w:rsidRDefault="00A45DE8" w:rsidP="00A45DE8">
      <w:pPr>
        <w:rPr>
          <w:b/>
          <w:bCs/>
        </w:rPr>
      </w:pPr>
      <w:r w:rsidRPr="00F83A5E">
        <w:rPr>
          <w:b/>
          <w:bCs/>
        </w:rPr>
        <w:t>EX3/</w:t>
      </w:r>
    </w:p>
    <w:p w:rsidR="006543DE" w:rsidRPr="00F83A5E" w:rsidRDefault="006543DE" w:rsidP="00F83A5E">
      <w:r w:rsidRPr="00F83A5E">
        <w:rPr>
          <w:b/>
          <w:bCs/>
          <w:u w:val="single"/>
        </w:rPr>
        <w:t xml:space="preserve">Il s’agit </w:t>
      </w:r>
      <w:r w:rsidR="00801F3A" w:rsidRPr="00F83A5E">
        <w:rPr>
          <w:b/>
          <w:bCs/>
          <w:u w:val="single"/>
        </w:rPr>
        <w:t>d’une chromatographie </w:t>
      </w:r>
      <w:r w:rsidR="00801F3A" w:rsidRPr="00F83A5E">
        <w:t xml:space="preserve">en phase gazeuse (CPG). C’est  une technique de séparation d’un mélange de molécules </w:t>
      </w:r>
      <w:r w:rsidR="00A45DE8" w:rsidRPr="00F83A5E">
        <w:t xml:space="preserve">de nature gazeuse, </w:t>
      </w:r>
      <w:r w:rsidR="00801F3A" w:rsidRPr="00F83A5E">
        <w:t>volatiles</w:t>
      </w:r>
      <w:r w:rsidR="00A45DE8" w:rsidRPr="00F83A5E">
        <w:t xml:space="preserve"> ou susceptibles d’être volatilisées</w:t>
      </w:r>
      <w:r w:rsidR="00801F3A" w:rsidRPr="00F83A5E">
        <w:t>, elle</w:t>
      </w:r>
      <w:r w:rsidR="00A45DE8" w:rsidRPr="00F83A5E">
        <w:t xml:space="preserve"> se fait sur colonne et </w:t>
      </w:r>
      <w:r w:rsidR="00801F3A" w:rsidRPr="00F83A5E">
        <w:t xml:space="preserve"> repose sur </w:t>
      </w:r>
      <w:r w:rsidR="00A45DE8" w:rsidRPr="00F83A5E">
        <w:t>l’utilisation d’une phase mobile (gaz) et une phase stationnaire (liquide ou solide</w:t>
      </w:r>
      <w:r w:rsidR="00F83A5E" w:rsidRPr="00F83A5E">
        <w:t>).</w:t>
      </w:r>
    </w:p>
    <w:p w:rsidR="00F83A5E" w:rsidRPr="00F83A5E" w:rsidRDefault="002724E5" w:rsidP="00F83A5E">
      <w:r w:rsidRPr="00F83A5E">
        <w:rPr>
          <w:b/>
          <w:bCs/>
          <w:u w:val="single"/>
        </w:rPr>
        <w:t>L</w:t>
      </w:r>
      <w:r w:rsidR="006543DE" w:rsidRPr="00F83A5E">
        <w:rPr>
          <w:b/>
          <w:bCs/>
          <w:u w:val="single"/>
        </w:rPr>
        <w:t xml:space="preserve">es principaux gaz vecteur </w:t>
      </w:r>
      <w:r w:rsidRPr="00F83A5E">
        <w:rPr>
          <w:b/>
          <w:bCs/>
          <w:u w:val="single"/>
        </w:rPr>
        <w:t>sont </w:t>
      </w:r>
      <w:r w:rsidRPr="00F83A5E">
        <w:t>: l’</w:t>
      </w:r>
      <w:proofErr w:type="spellStart"/>
      <w:r w:rsidRPr="00F83A5E">
        <w:t>helium</w:t>
      </w:r>
      <w:proofErr w:type="spellEnd"/>
      <w:r w:rsidRPr="00F83A5E">
        <w:t xml:space="preserve"> (He), le dihydrogène (H2), l’azote réactif et l’argon </w:t>
      </w:r>
      <w:r w:rsidR="006543DE" w:rsidRPr="00F83A5E">
        <w:t xml:space="preserve"> (1P)</w:t>
      </w:r>
      <w:r w:rsidR="00F83A5E" w:rsidRPr="00F83A5E">
        <w:t xml:space="preserve"> et l</w:t>
      </w:r>
      <w:r w:rsidRPr="00F83A5E">
        <w:t>e gaz est choisi selon le type de détecteur et selon certain</w:t>
      </w:r>
      <w:r w:rsidR="0072041B" w:rsidRPr="00F83A5E">
        <w:t>e</w:t>
      </w:r>
      <w:r w:rsidRPr="00F83A5E">
        <w:t xml:space="preserve">s </w:t>
      </w:r>
      <w:r w:rsidR="0072041B" w:rsidRPr="00F83A5E">
        <w:t xml:space="preserve">caractéristiques ex: </w:t>
      </w:r>
      <w:r w:rsidRPr="00F83A5E">
        <w:t xml:space="preserve">la </w:t>
      </w:r>
      <w:r w:rsidR="0072041B" w:rsidRPr="00F83A5E">
        <w:t>sensibilité</w:t>
      </w:r>
      <w:r w:rsidR="00BF6726" w:rsidRPr="00F83A5E">
        <w:t>,</w:t>
      </w:r>
      <w:r w:rsidR="0072041B" w:rsidRPr="00F83A5E">
        <w:t xml:space="preserve"> </w:t>
      </w:r>
      <w:r w:rsidR="00BF6726" w:rsidRPr="00F83A5E">
        <w:t>la toxicité,  le cout de fonctionnement</w:t>
      </w:r>
      <w:r w:rsidRPr="00F83A5E">
        <w:t xml:space="preserve"> </w:t>
      </w:r>
    </w:p>
    <w:p w:rsidR="00F83A5E" w:rsidRPr="00F83A5E" w:rsidRDefault="002724E5" w:rsidP="00F83A5E">
      <w:r w:rsidRPr="00F83A5E">
        <w:t xml:space="preserve">FID  / Détecteur à ionisation de Flamme </w:t>
      </w:r>
    </w:p>
    <w:p w:rsidR="0072041B" w:rsidRPr="00F83A5E" w:rsidRDefault="0072041B" w:rsidP="00F83A5E">
      <w:r w:rsidRPr="00F83A5E">
        <w:t xml:space="preserve">A la sortie de la colonne, les composés sont brûlés dans une flamme air-hydrogène. Une électrode collecte les ions formés,  </w:t>
      </w:r>
      <w:r w:rsidR="007D6E79" w:rsidRPr="00F83A5E">
        <w:t xml:space="preserve">ce </w:t>
      </w:r>
      <w:r w:rsidRPr="00F83A5E">
        <w:t xml:space="preserve">qui génèrent un courant d'ionisation. Après amplification, on obtient un </w:t>
      </w:r>
      <w:r w:rsidRPr="00F83A5E">
        <w:lastRenderedPageBreak/>
        <w:t xml:space="preserve">signal proportionnel à la masse du soluté. C'est le plus courant des détecteurs en CPG, </w:t>
      </w:r>
      <w:r w:rsidRPr="00F83A5E">
        <w:rPr>
          <w:b/>
          <w:bCs/>
        </w:rPr>
        <w:t>il est sensible</w:t>
      </w:r>
      <w:r w:rsidRPr="00F83A5E">
        <w:t xml:space="preserve"> à des </w:t>
      </w:r>
      <w:r w:rsidR="00BF6726" w:rsidRPr="00F83A5E">
        <w:t xml:space="preserve">quantités très faibles, toutefois, il est </w:t>
      </w:r>
      <w:r w:rsidR="00BF6726" w:rsidRPr="00F83A5E">
        <w:rPr>
          <w:b/>
          <w:bCs/>
        </w:rPr>
        <w:t>destructif</w:t>
      </w:r>
      <w:r w:rsidR="007D6E79" w:rsidRPr="00F83A5E">
        <w:t>.</w:t>
      </w:r>
    </w:p>
    <w:p w:rsidR="00D13D2A" w:rsidRPr="00F83A5E" w:rsidRDefault="00BF6726" w:rsidP="00F83A5E">
      <w:pPr>
        <w:rPr>
          <w:b/>
          <w:bCs/>
          <w:u w:val="single"/>
        </w:rPr>
      </w:pPr>
      <w:r w:rsidRPr="00F83A5E">
        <w:rPr>
          <w:b/>
          <w:bCs/>
          <w:u w:val="single"/>
        </w:rPr>
        <w:t>M</w:t>
      </w:r>
      <w:r w:rsidR="006543DE" w:rsidRPr="00F83A5E">
        <w:rPr>
          <w:b/>
          <w:bCs/>
          <w:u w:val="single"/>
        </w:rPr>
        <w:t xml:space="preserve">ontage </w:t>
      </w:r>
      <w:r w:rsidRPr="00F83A5E">
        <w:rPr>
          <w:b/>
          <w:bCs/>
          <w:u w:val="single"/>
        </w:rPr>
        <w:t>d’une CPG</w:t>
      </w:r>
      <w:r w:rsidR="006543DE" w:rsidRPr="00F83A5E">
        <w:rPr>
          <w:b/>
          <w:bCs/>
          <w:u w:val="single"/>
        </w:rPr>
        <w:t xml:space="preserve"> </w:t>
      </w:r>
      <w:bookmarkStart w:id="1" w:name="appareillage"/>
      <w:bookmarkEnd w:id="1"/>
    </w:p>
    <w:p w:rsidR="00BF6726" w:rsidRPr="00BF6726" w:rsidRDefault="00BF6726" w:rsidP="00BF6726">
      <w:pPr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638550" cy="1850709"/>
            <wp:effectExtent l="0" t="0" r="0" b="0"/>
            <wp:docPr id="18" name="Image 18" descr="La chromatographie en phase gazeuse: princip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hromatographie en phase gazeuse: princip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780" cy="18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2A" w:rsidRPr="009E3F7F" w:rsidRDefault="005A5435" w:rsidP="00F83A5E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D13D2A" w:rsidRPr="009E3F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59" w:rsidRDefault="00070659" w:rsidP="007653CE">
      <w:pPr>
        <w:spacing w:after="0" w:line="240" w:lineRule="auto"/>
      </w:pPr>
      <w:r>
        <w:separator/>
      </w:r>
    </w:p>
  </w:endnote>
  <w:endnote w:type="continuationSeparator" w:id="0">
    <w:p w:rsidR="00070659" w:rsidRDefault="00070659" w:rsidP="0076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59" w:rsidRDefault="00070659" w:rsidP="007653CE">
      <w:pPr>
        <w:spacing w:after="0" w:line="240" w:lineRule="auto"/>
      </w:pPr>
      <w:r>
        <w:separator/>
      </w:r>
    </w:p>
  </w:footnote>
  <w:footnote w:type="continuationSeparator" w:id="0">
    <w:p w:rsidR="00070659" w:rsidRDefault="00070659" w:rsidP="0076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3A" w:rsidRDefault="00801F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08"/>
    <w:multiLevelType w:val="hybridMultilevel"/>
    <w:tmpl w:val="34A04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42C"/>
    <w:multiLevelType w:val="hybridMultilevel"/>
    <w:tmpl w:val="20E0AE92"/>
    <w:lvl w:ilvl="0" w:tplc="A06A89B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0EF9"/>
    <w:multiLevelType w:val="hybridMultilevel"/>
    <w:tmpl w:val="3740DB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00F"/>
    <w:multiLevelType w:val="hybridMultilevel"/>
    <w:tmpl w:val="8758A4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C1131"/>
    <w:multiLevelType w:val="hybridMultilevel"/>
    <w:tmpl w:val="5B484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47E8"/>
    <w:multiLevelType w:val="hybridMultilevel"/>
    <w:tmpl w:val="B3A0A378"/>
    <w:lvl w:ilvl="0" w:tplc="040C0019">
      <w:start w:val="1"/>
      <w:numFmt w:val="lowerLetter"/>
      <w:lvlText w:val="%1."/>
      <w:lvlJc w:val="left"/>
      <w:pPr>
        <w:ind w:left="2061" w:hanging="360"/>
      </w:p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2C379B0"/>
    <w:multiLevelType w:val="hybridMultilevel"/>
    <w:tmpl w:val="52608362"/>
    <w:lvl w:ilvl="0" w:tplc="71486E3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09D688A"/>
    <w:multiLevelType w:val="hybridMultilevel"/>
    <w:tmpl w:val="87E84E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C084E"/>
    <w:multiLevelType w:val="hybridMultilevel"/>
    <w:tmpl w:val="4B649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42C81"/>
    <w:multiLevelType w:val="hybridMultilevel"/>
    <w:tmpl w:val="F060478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B2680"/>
    <w:multiLevelType w:val="hybridMultilevel"/>
    <w:tmpl w:val="56D22B0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CE"/>
    <w:rsid w:val="00070659"/>
    <w:rsid w:val="00145F93"/>
    <w:rsid w:val="00172992"/>
    <w:rsid w:val="002724E5"/>
    <w:rsid w:val="002E3175"/>
    <w:rsid w:val="003D6D59"/>
    <w:rsid w:val="00412090"/>
    <w:rsid w:val="004B4A85"/>
    <w:rsid w:val="00521D1A"/>
    <w:rsid w:val="005953F8"/>
    <w:rsid w:val="005A5435"/>
    <w:rsid w:val="006543DE"/>
    <w:rsid w:val="0072041B"/>
    <w:rsid w:val="007653CE"/>
    <w:rsid w:val="007D6E79"/>
    <w:rsid w:val="00801F3A"/>
    <w:rsid w:val="008625B5"/>
    <w:rsid w:val="0095639B"/>
    <w:rsid w:val="009E3F7F"/>
    <w:rsid w:val="009F5074"/>
    <w:rsid w:val="00A45DE8"/>
    <w:rsid w:val="00AA7F8C"/>
    <w:rsid w:val="00AB5922"/>
    <w:rsid w:val="00B36376"/>
    <w:rsid w:val="00BB5354"/>
    <w:rsid w:val="00BF6726"/>
    <w:rsid w:val="00C04AEF"/>
    <w:rsid w:val="00D13D2A"/>
    <w:rsid w:val="00EA13F8"/>
    <w:rsid w:val="00F83A5E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7FBF7-67A7-496F-A7B1-6F69858D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3CE"/>
  </w:style>
  <w:style w:type="paragraph" w:styleId="Pieddepage">
    <w:name w:val="footer"/>
    <w:basedOn w:val="Normal"/>
    <w:link w:val="PieddepageCar"/>
    <w:uiPriority w:val="99"/>
    <w:unhideWhenUsed/>
    <w:rsid w:val="0076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3CE"/>
  </w:style>
  <w:style w:type="paragraph" w:styleId="Textedebulles">
    <w:name w:val="Balloon Text"/>
    <w:basedOn w:val="Normal"/>
    <w:link w:val="TextedebullesCar"/>
    <w:uiPriority w:val="99"/>
    <w:semiHidden/>
    <w:unhideWhenUsed/>
    <w:rsid w:val="0076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3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6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43DE"/>
    <w:pPr>
      <w:ind w:left="720"/>
      <w:contextualSpacing/>
    </w:pPr>
  </w:style>
  <w:style w:type="character" w:customStyle="1" w:styleId="gt-card-ttl-txt">
    <w:name w:val="gt-card-ttl-txt"/>
    <w:basedOn w:val="Policepardfaut"/>
    <w:rsid w:val="006543DE"/>
  </w:style>
  <w:style w:type="character" w:styleId="lev">
    <w:name w:val="Strong"/>
    <w:basedOn w:val="Policepardfaut"/>
    <w:uiPriority w:val="22"/>
    <w:qFormat/>
    <w:rsid w:val="0072041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20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 KHADEM</dc:creator>
  <cp:lastModifiedBy>bsc</cp:lastModifiedBy>
  <cp:revision>2</cp:revision>
  <cp:lastPrinted>2023-01-26T17:24:00Z</cp:lastPrinted>
  <dcterms:created xsi:type="dcterms:W3CDTF">2025-01-19T08:12:00Z</dcterms:created>
  <dcterms:modified xsi:type="dcterms:W3CDTF">2025-01-19T08:12:00Z</dcterms:modified>
</cp:coreProperties>
</file>